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1FCA" w14:textId="77777777" w:rsidR="00C0614D" w:rsidRDefault="00C0614D" w:rsidP="00C0614D">
      <w:pPr>
        <w:spacing w:after="0" w:line="400" w:lineRule="atLeast"/>
        <w:jc w:val="center"/>
        <w:rPr>
          <w:rFonts w:ascii="Saira" w:hAnsi="Saira"/>
          <w:b/>
          <w:color w:val="C2007A"/>
          <w:sz w:val="32"/>
          <w:szCs w:val="32"/>
        </w:rPr>
      </w:pPr>
      <w:bookmarkStart w:id="0" w:name="_Hlk44508996"/>
    </w:p>
    <w:p w14:paraId="78FF2183" w14:textId="0E9C167B" w:rsidR="00C0614D" w:rsidRPr="00031D56" w:rsidRDefault="00C0614D" w:rsidP="00C0614D">
      <w:pPr>
        <w:spacing w:after="0" w:line="400" w:lineRule="atLeast"/>
        <w:jc w:val="center"/>
        <w:rPr>
          <w:rFonts w:ascii="Saira" w:hAnsi="Saira"/>
          <w:b/>
          <w:color w:val="002060"/>
          <w:sz w:val="32"/>
          <w:szCs w:val="32"/>
        </w:rPr>
      </w:pPr>
      <w:r w:rsidRPr="00031D56">
        <w:rPr>
          <w:rFonts w:ascii="Saira" w:hAnsi="Saira"/>
          <w:b/>
          <w:color w:val="C2007A"/>
          <w:sz w:val="32"/>
          <w:szCs w:val="32"/>
        </w:rPr>
        <w:t>Sierra Nevada</w:t>
      </w:r>
      <w:r w:rsidRPr="00031D56">
        <w:rPr>
          <w:rFonts w:ascii="Saira" w:hAnsi="Saira"/>
          <w:b/>
          <w:color w:val="002060"/>
          <w:sz w:val="32"/>
          <w:szCs w:val="32"/>
        </w:rPr>
        <w:t xml:space="preserve"> </w:t>
      </w:r>
      <w:bookmarkEnd w:id="0"/>
      <w:r w:rsidRPr="00031D56">
        <w:rPr>
          <w:rFonts w:ascii="Saira" w:hAnsi="Saira"/>
          <w:b/>
          <w:color w:val="002060"/>
          <w:sz w:val="32"/>
          <w:szCs w:val="32"/>
        </w:rPr>
        <w:t>2023 pone a la venta las entradas para las dos copas del mundo de Snowboard Cross</w:t>
      </w:r>
    </w:p>
    <w:p w14:paraId="6EB58936" w14:textId="77777777" w:rsidR="00C0614D" w:rsidRPr="00031D56" w:rsidRDefault="00C0614D" w:rsidP="00C0614D">
      <w:pPr>
        <w:spacing w:after="0" w:line="400" w:lineRule="atLeast"/>
        <w:rPr>
          <w:rFonts w:ascii="Saira" w:hAnsi="Saira"/>
          <w:bCs/>
          <w:color w:val="002060"/>
        </w:rPr>
      </w:pPr>
    </w:p>
    <w:p w14:paraId="455DC8BD" w14:textId="77777777" w:rsidR="00C0614D" w:rsidRPr="00031D56" w:rsidRDefault="00C0614D" w:rsidP="00C0614D">
      <w:pPr>
        <w:pStyle w:val="Prrafodelista"/>
        <w:numPr>
          <w:ilvl w:val="0"/>
          <w:numId w:val="6"/>
        </w:numPr>
        <w:spacing w:after="0" w:line="400" w:lineRule="atLeast"/>
        <w:rPr>
          <w:rFonts w:ascii="Saira" w:hAnsi="Saira"/>
          <w:b/>
          <w:color w:val="002060"/>
        </w:rPr>
      </w:pPr>
      <w:r w:rsidRPr="00031D56">
        <w:rPr>
          <w:rFonts w:ascii="Saira" w:hAnsi="Saira"/>
          <w:b/>
          <w:color w:val="002060"/>
        </w:rPr>
        <w:t xml:space="preserve">Se pueden adquirir como tiques de telesillas, desde 9 a 20 euros, para las clasificatorias del 10 de marzo, las finales del 11 y 12, o para los tres días </w:t>
      </w:r>
    </w:p>
    <w:p w14:paraId="39EAD8B2" w14:textId="77777777" w:rsidR="00C0614D" w:rsidRPr="00031D56" w:rsidRDefault="00C0614D" w:rsidP="00C0614D">
      <w:pPr>
        <w:spacing w:after="0" w:line="400" w:lineRule="atLeast"/>
        <w:rPr>
          <w:rFonts w:ascii="Saira" w:hAnsi="Saira"/>
          <w:b/>
          <w:color w:val="002060"/>
        </w:rPr>
      </w:pPr>
    </w:p>
    <w:p w14:paraId="0187FCEF" w14:textId="77777777" w:rsidR="00C0614D" w:rsidRDefault="00C0614D" w:rsidP="00C0614D">
      <w:pPr>
        <w:spacing w:after="0" w:line="400" w:lineRule="atLeast"/>
        <w:rPr>
          <w:rFonts w:ascii="Saira" w:hAnsi="Saira"/>
          <w:bCs/>
          <w:color w:val="002060"/>
        </w:rPr>
      </w:pPr>
      <w:r w:rsidRPr="00031D56">
        <w:rPr>
          <w:rFonts w:ascii="Saira" w:hAnsi="Saira"/>
          <w:bCs/>
          <w:color w:val="002060"/>
        </w:rPr>
        <w:t xml:space="preserve">Sierra Nevada 2023 ha puesto a la venta las entradas para acceder al área de meta de las dos pruebas de la Copa del Mundo de Snowboard Cross que se disputarán del 10 al 12 de marzo en el circuito SBX de la Loma de </w:t>
      </w:r>
      <w:proofErr w:type="spellStart"/>
      <w:r w:rsidRPr="00031D56">
        <w:rPr>
          <w:rFonts w:ascii="Saira" w:hAnsi="Saira"/>
          <w:bCs/>
          <w:color w:val="002060"/>
        </w:rPr>
        <w:t>Dílar</w:t>
      </w:r>
      <w:proofErr w:type="spellEnd"/>
      <w:r w:rsidRPr="00031D56">
        <w:rPr>
          <w:rFonts w:ascii="Saira" w:hAnsi="Saira"/>
          <w:bCs/>
          <w:color w:val="002060"/>
        </w:rPr>
        <w:t xml:space="preserve">. </w:t>
      </w:r>
    </w:p>
    <w:p w14:paraId="58FF0F40" w14:textId="77777777" w:rsidR="00C0614D" w:rsidRPr="00031D56" w:rsidRDefault="00C0614D" w:rsidP="00C0614D">
      <w:pPr>
        <w:spacing w:after="0" w:line="400" w:lineRule="atLeast"/>
        <w:rPr>
          <w:rFonts w:ascii="Saira" w:hAnsi="Saira"/>
          <w:bCs/>
          <w:color w:val="002060"/>
        </w:rPr>
      </w:pPr>
    </w:p>
    <w:p w14:paraId="4BF8ED75" w14:textId="77777777" w:rsidR="00C0614D" w:rsidRDefault="00C0614D" w:rsidP="00C0614D">
      <w:pPr>
        <w:spacing w:after="0" w:line="400" w:lineRule="atLeast"/>
        <w:rPr>
          <w:rFonts w:ascii="Saira" w:hAnsi="Saira"/>
          <w:bCs/>
          <w:color w:val="002060"/>
        </w:rPr>
      </w:pPr>
      <w:r w:rsidRPr="00031D56">
        <w:rPr>
          <w:rFonts w:ascii="Saira" w:hAnsi="Saira"/>
          <w:bCs/>
          <w:color w:val="002060"/>
        </w:rPr>
        <w:t xml:space="preserve">Las entradas son tiques para público no esquiador que permiten el uso del telesilla Jara que, desde Pradollano, da acceso al área de meta, donde la competición puede seguirse de pie o en la grada, si bien el acceso a la misma no implica la reserva de asiento. Para quien lo desee, la entrada también da derecho a usar el telesilla Loma de </w:t>
      </w:r>
      <w:proofErr w:type="spellStart"/>
      <w:r w:rsidRPr="00031D56">
        <w:rPr>
          <w:rFonts w:ascii="Saira" w:hAnsi="Saira"/>
          <w:bCs/>
          <w:color w:val="002060"/>
        </w:rPr>
        <w:t>Dílar</w:t>
      </w:r>
      <w:proofErr w:type="spellEnd"/>
      <w:r w:rsidRPr="00031D56">
        <w:rPr>
          <w:rFonts w:ascii="Saira" w:hAnsi="Saira"/>
          <w:bCs/>
          <w:color w:val="002060"/>
        </w:rPr>
        <w:t xml:space="preserve"> a fin seguir las carreras de pie desde la última curva del recorrido. </w:t>
      </w:r>
    </w:p>
    <w:p w14:paraId="27BA7354" w14:textId="77777777" w:rsidR="00C0614D" w:rsidRPr="00031D56" w:rsidRDefault="00C0614D" w:rsidP="00C0614D">
      <w:pPr>
        <w:spacing w:after="0" w:line="400" w:lineRule="atLeast"/>
        <w:rPr>
          <w:rFonts w:ascii="Saira" w:hAnsi="Saira"/>
          <w:bCs/>
          <w:color w:val="002060"/>
        </w:rPr>
      </w:pPr>
    </w:p>
    <w:p w14:paraId="36E71E7B"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Los tiques de las dos pruebas de la Copa del Mundo, con precios que oscilan desde los 9 a los 20 euros por día, se pueden adquirir a través de la página web de Sierra Nevada o presencialmente en las taquillas de la plaza de Andalucía, para cada uno de los tres días que componen el programa de competición o para los tres.</w:t>
      </w:r>
    </w:p>
    <w:p w14:paraId="5B891AAA" w14:textId="77777777" w:rsidR="00C0614D" w:rsidRPr="00031D56" w:rsidRDefault="00C0614D" w:rsidP="00C0614D">
      <w:pPr>
        <w:spacing w:after="0" w:line="400" w:lineRule="atLeast"/>
        <w:rPr>
          <w:rFonts w:ascii="Saira" w:hAnsi="Saira"/>
          <w:bCs/>
          <w:color w:val="002060"/>
        </w:rPr>
      </w:pPr>
    </w:p>
    <w:p w14:paraId="35D0DEA0" w14:textId="77777777" w:rsidR="00C0614D" w:rsidRPr="00031D56" w:rsidRDefault="00C0614D" w:rsidP="00C0614D">
      <w:pPr>
        <w:spacing w:after="0" w:line="400" w:lineRule="atLeast"/>
        <w:rPr>
          <w:rFonts w:ascii="Saira" w:hAnsi="Saira"/>
          <w:bCs/>
          <w:color w:val="002060"/>
        </w:rPr>
      </w:pPr>
      <w:r w:rsidRPr="00031D56">
        <w:rPr>
          <w:rFonts w:ascii="Saira" w:hAnsi="Saira"/>
          <w:b/>
          <w:color w:val="002060"/>
        </w:rPr>
        <w:t>Programa de competición</w:t>
      </w:r>
      <w:r w:rsidRPr="00031D56">
        <w:rPr>
          <w:rFonts w:ascii="Saira" w:hAnsi="Saira"/>
          <w:bCs/>
          <w:color w:val="002060"/>
        </w:rPr>
        <w:t>:</w:t>
      </w:r>
    </w:p>
    <w:p w14:paraId="28F96510"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r>
      <w:proofErr w:type="gramStart"/>
      <w:r w:rsidRPr="00031D56">
        <w:rPr>
          <w:rFonts w:ascii="Saira" w:hAnsi="Saira"/>
          <w:bCs/>
          <w:color w:val="002060"/>
        </w:rPr>
        <w:t>Viernes</w:t>
      </w:r>
      <w:proofErr w:type="gramEnd"/>
      <w:r w:rsidRPr="00031D56">
        <w:rPr>
          <w:rFonts w:ascii="Saira" w:hAnsi="Saira"/>
          <w:bCs/>
          <w:color w:val="002060"/>
        </w:rPr>
        <w:t>, 10 de marzo: entrenamientos y clasificatorias</w:t>
      </w:r>
    </w:p>
    <w:p w14:paraId="02A6CE7D"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r>
      <w:proofErr w:type="gramStart"/>
      <w:r w:rsidRPr="00031D56">
        <w:rPr>
          <w:rFonts w:ascii="Saira" w:hAnsi="Saira"/>
          <w:bCs/>
          <w:color w:val="002060"/>
        </w:rPr>
        <w:t>Sábado</w:t>
      </w:r>
      <w:proofErr w:type="gramEnd"/>
      <w:r w:rsidRPr="00031D56">
        <w:rPr>
          <w:rFonts w:ascii="Saira" w:hAnsi="Saira"/>
          <w:bCs/>
          <w:color w:val="002060"/>
        </w:rPr>
        <w:t>, 11 de marzo: primera copa del mundo</w:t>
      </w:r>
    </w:p>
    <w:p w14:paraId="544C4350"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t>Domingo 12 de marzo: segunda copa del mundo</w:t>
      </w:r>
    </w:p>
    <w:p w14:paraId="0CBF2CDC" w14:textId="77777777" w:rsidR="00C0614D" w:rsidRDefault="00C0614D" w:rsidP="00C0614D">
      <w:pPr>
        <w:spacing w:after="0" w:line="400" w:lineRule="atLeast"/>
        <w:rPr>
          <w:rFonts w:ascii="Saira" w:hAnsi="Saira"/>
          <w:bCs/>
          <w:color w:val="002060"/>
        </w:rPr>
      </w:pPr>
    </w:p>
    <w:p w14:paraId="1D28A168" w14:textId="77777777" w:rsidR="00C0614D" w:rsidRPr="00031D56" w:rsidRDefault="00C0614D" w:rsidP="00C0614D">
      <w:pPr>
        <w:spacing w:after="0" w:line="400" w:lineRule="atLeast"/>
        <w:rPr>
          <w:rFonts w:ascii="Saira" w:hAnsi="Saira"/>
          <w:b/>
          <w:color w:val="002060"/>
        </w:rPr>
      </w:pPr>
      <w:r w:rsidRPr="00031D56">
        <w:rPr>
          <w:rFonts w:ascii="Saira" w:hAnsi="Saira"/>
          <w:b/>
          <w:color w:val="002060"/>
        </w:rPr>
        <w:t xml:space="preserve">Precios por día: </w:t>
      </w:r>
    </w:p>
    <w:p w14:paraId="3AC4D013"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t>De 0 a 5 años: 9 euros</w:t>
      </w:r>
    </w:p>
    <w:p w14:paraId="2B6F32B5"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t>De 6 a 15 años: 13 euros</w:t>
      </w:r>
    </w:p>
    <w:p w14:paraId="63F9205F"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t>•</w:t>
      </w:r>
      <w:r w:rsidRPr="00031D56">
        <w:rPr>
          <w:rFonts w:ascii="Saira" w:hAnsi="Saira"/>
          <w:bCs/>
          <w:color w:val="002060"/>
        </w:rPr>
        <w:tab/>
        <w:t>De 16 a 69 años: 20 euros</w:t>
      </w:r>
    </w:p>
    <w:p w14:paraId="675BB573" w14:textId="77777777" w:rsidR="00C0614D" w:rsidRPr="00031D56" w:rsidRDefault="00C0614D" w:rsidP="00C0614D">
      <w:pPr>
        <w:spacing w:after="0" w:line="400" w:lineRule="atLeast"/>
        <w:rPr>
          <w:rFonts w:ascii="Saira" w:hAnsi="Saira"/>
          <w:bCs/>
          <w:color w:val="002060"/>
        </w:rPr>
      </w:pPr>
      <w:r w:rsidRPr="00031D56">
        <w:rPr>
          <w:rFonts w:ascii="Saira" w:hAnsi="Saira"/>
          <w:bCs/>
          <w:color w:val="002060"/>
        </w:rPr>
        <w:lastRenderedPageBreak/>
        <w:t>•</w:t>
      </w:r>
      <w:r w:rsidRPr="00031D56">
        <w:rPr>
          <w:rFonts w:ascii="Saira" w:hAnsi="Saira"/>
          <w:bCs/>
          <w:color w:val="002060"/>
        </w:rPr>
        <w:tab/>
        <w:t>Mayor de 70 años: 9 euros</w:t>
      </w:r>
    </w:p>
    <w:p w14:paraId="444CEDEB" w14:textId="77777777" w:rsidR="00C0614D" w:rsidRPr="00031D56" w:rsidRDefault="00C0614D" w:rsidP="00C0614D">
      <w:pPr>
        <w:spacing w:after="0" w:line="400" w:lineRule="atLeast"/>
        <w:rPr>
          <w:rFonts w:ascii="Saira" w:hAnsi="Saira"/>
          <w:bCs/>
          <w:color w:val="002060"/>
        </w:rPr>
      </w:pPr>
    </w:p>
    <w:p w14:paraId="565034D9" w14:textId="77777777" w:rsidR="00C0614D" w:rsidRDefault="00C0614D" w:rsidP="00C0614D">
      <w:pPr>
        <w:spacing w:after="0" w:line="400" w:lineRule="atLeast"/>
        <w:rPr>
          <w:rFonts w:ascii="Saira" w:hAnsi="Saira"/>
          <w:bCs/>
          <w:color w:val="002060"/>
        </w:rPr>
      </w:pPr>
      <w:r w:rsidRPr="00031D56">
        <w:rPr>
          <w:rFonts w:ascii="Saira" w:hAnsi="Saira"/>
          <w:bCs/>
          <w:color w:val="002060"/>
        </w:rPr>
        <w:t xml:space="preserve">Opcionalmente, las entradas pueden ser combinadas con diferentes menús en el restaurante </w:t>
      </w:r>
      <w:proofErr w:type="spellStart"/>
      <w:r w:rsidRPr="00031D56">
        <w:rPr>
          <w:rFonts w:ascii="Saira" w:hAnsi="Saira"/>
          <w:bCs/>
          <w:color w:val="002060"/>
        </w:rPr>
        <w:t>Domino’s</w:t>
      </w:r>
      <w:proofErr w:type="spellEnd"/>
      <w:r w:rsidRPr="00031D56">
        <w:rPr>
          <w:rFonts w:ascii="Saira" w:hAnsi="Saira"/>
          <w:bCs/>
          <w:color w:val="002060"/>
        </w:rPr>
        <w:t xml:space="preserve"> Pizza, situado a escasos metros de la meta. Los esquiadores con forfait podrán ver las pruebas desde cualquier punto del trazado o en el área de meta. </w:t>
      </w:r>
    </w:p>
    <w:p w14:paraId="5E0858EC" w14:textId="77777777" w:rsidR="00C0614D" w:rsidRPr="00031D56" w:rsidRDefault="00C0614D" w:rsidP="00C0614D">
      <w:pPr>
        <w:spacing w:after="0" w:line="400" w:lineRule="atLeast"/>
        <w:rPr>
          <w:rFonts w:ascii="Saira" w:hAnsi="Saira"/>
          <w:bCs/>
          <w:color w:val="002060"/>
        </w:rPr>
      </w:pPr>
    </w:p>
    <w:p w14:paraId="01484BC0" w14:textId="77777777" w:rsidR="00C0614D" w:rsidRDefault="00C0614D" w:rsidP="00C0614D">
      <w:pPr>
        <w:spacing w:after="0" w:line="400" w:lineRule="atLeast"/>
        <w:rPr>
          <w:rFonts w:ascii="Saira" w:hAnsi="Saira"/>
          <w:bCs/>
          <w:color w:val="002060"/>
        </w:rPr>
      </w:pPr>
      <w:r w:rsidRPr="00031D56">
        <w:rPr>
          <w:rFonts w:ascii="Saira" w:hAnsi="Saira"/>
          <w:bCs/>
          <w:color w:val="002060"/>
        </w:rPr>
        <w:t>Las dos pruebas de la Copa del Mundo de Sierra Nevada contarán con la participación de más de un centenar de corredores, los mejores del mundo en una de las disciplinas más espectaculares del snowboard.</w:t>
      </w:r>
    </w:p>
    <w:p w14:paraId="4D8EBB72" w14:textId="77777777" w:rsidR="00C0614D" w:rsidRPr="00031D56" w:rsidRDefault="00C0614D" w:rsidP="00C0614D">
      <w:pPr>
        <w:spacing w:after="0" w:line="400" w:lineRule="atLeast"/>
        <w:rPr>
          <w:rFonts w:ascii="Saira" w:hAnsi="Saira"/>
          <w:bCs/>
          <w:color w:val="002060"/>
        </w:rPr>
      </w:pPr>
    </w:p>
    <w:p w14:paraId="5D2A4BF9" w14:textId="324E64C2" w:rsidR="006E0DEA" w:rsidRDefault="00C0614D" w:rsidP="00C0614D">
      <w:pPr>
        <w:spacing w:after="0" w:line="400" w:lineRule="atLeast"/>
      </w:pPr>
      <w:r w:rsidRPr="00031D56">
        <w:rPr>
          <w:rFonts w:ascii="Saira" w:hAnsi="Saira"/>
          <w:bCs/>
          <w:color w:val="002060"/>
        </w:rPr>
        <w:t xml:space="preserve">La competición, con el patrocinio de la Consejería de Turismo, Cultura y Deporte de la Junta de Andalucía con la cofinanciación de la Unión Europea, se celebrará justo después del Campeonato del Mundo de Snowboard en </w:t>
      </w:r>
      <w:proofErr w:type="spellStart"/>
      <w:r w:rsidRPr="00031D56">
        <w:rPr>
          <w:rFonts w:ascii="Saira" w:hAnsi="Saira"/>
          <w:bCs/>
          <w:color w:val="002060"/>
        </w:rPr>
        <w:t>Bakuriani</w:t>
      </w:r>
      <w:proofErr w:type="spellEnd"/>
      <w:r w:rsidRPr="00031D56">
        <w:rPr>
          <w:rFonts w:ascii="Saira" w:hAnsi="Saira"/>
          <w:bCs/>
          <w:color w:val="002060"/>
        </w:rPr>
        <w:t xml:space="preserve"> (Georgia) y antes de las dos últimas carreras (en </w:t>
      </w:r>
      <w:proofErr w:type="spellStart"/>
      <w:r w:rsidRPr="00031D56">
        <w:rPr>
          <w:rFonts w:ascii="Saira" w:hAnsi="Saira"/>
          <w:bCs/>
          <w:color w:val="002060"/>
        </w:rPr>
        <w:t>Veysonnaz</w:t>
      </w:r>
      <w:proofErr w:type="spellEnd"/>
      <w:r w:rsidRPr="00031D56">
        <w:rPr>
          <w:rFonts w:ascii="Saira" w:hAnsi="Saira"/>
          <w:bCs/>
          <w:color w:val="002060"/>
        </w:rPr>
        <w:t>, Suiza; y Mr. St. Ann, Canadá) que cerrarán el circuito anual de la Copa del Mundo SBX.</w:t>
      </w:r>
    </w:p>
    <w:p w14:paraId="72153ACD" w14:textId="337DC488" w:rsidR="00ED5745" w:rsidRDefault="00ED5745"/>
    <w:p w14:paraId="7AE96B32" w14:textId="67C25C8A" w:rsidR="00ED5745" w:rsidRDefault="00ED5745"/>
    <w:p w14:paraId="2665123F" w14:textId="0E79B4E2" w:rsidR="00ED5745" w:rsidRDefault="00ED5745"/>
    <w:p w14:paraId="6E1D0C34" w14:textId="6B6A1961" w:rsidR="00ED5745" w:rsidRDefault="00ED5745"/>
    <w:p w14:paraId="605C8D0E" w14:textId="599C44CD" w:rsidR="00ED5745" w:rsidRDefault="00ED5745"/>
    <w:p w14:paraId="5B0849D5" w14:textId="680556A7" w:rsidR="00ED5745" w:rsidRDefault="00ED5745"/>
    <w:p w14:paraId="2FDA428C" w14:textId="6337D4B1" w:rsidR="00ED5745" w:rsidRDefault="00ED5745"/>
    <w:p w14:paraId="6FE7705A" w14:textId="1CCE15AC" w:rsidR="00ED5745" w:rsidRDefault="00ED5745"/>
    <w:p w14:paraId="29222D65" w14:textId="1F34413A" w:rsidR="00ED5745" w:rsidRDefault="00ED5745"/>
    <w:p w14:paraId="32B71720" w14:textId="34FF0449" w:rsidR="00ED5745" w:rsidRDefault="00ED5745"/>
    <w:p w14:paraId="3654404F" w14:textId="5933DDBB" w:rsidR="00ED5745" w:rsidRDefault="00ED5745"/>
    <w:p w14:paraId="35CE3044" w14:textId="421E78AB" w:rsidR="00ED5745" w:rsidRDefault="00ED5745"/>
    <w:p w14:paraId="26081B67" w14:textId="20100BBF" w:rsidR="00ED5745" w:rsidRDefault="00ED5745"/>
    <w:p w14:paraId="229F633F" w14:textId="57AF3EF4" w:rsidR="00ED5745" w:rsidRDefault="00ED5745"/>
    <w:p w14:paraId="790EF306" w14:textId="4D8E2BF5" w:rsidR="00ED5745" w:rsidRDefault="00ED5745"/>
    <w:p w14:paraId="62393CBB" w14:textId="77777777" w:rsidR="00ED5745" w:rsidRDefault="00ED5745"/>
    <w:sectPr w:rsidR="00ED5745" w:rsidSect="0092324E">
      <w:headerReference w:type="default" r:id="rId8"/>
      <w:footerReference w:type="default" r:id="rId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9341" w14:textId="77777777" w:rsidR="00E83F2E" w:rsidRDefault="00E83F2E" w:rsidP="006E0DEA">
      <w:pPr>
        <w:spacing w:after="0" w:line="240" w:lineRule="auto"/>
      </w:pPr>
      <w:r>
        <w:separator/>
      </w:r>
    </w:p>
  </w:endnote>
  <w:endnote w:type="continuationSeparator" w:id="0">
    <w:p w14:paraId="11CADE58" w14:textId="77777777" w:rsidR="00E83F2E" w:rsidRDefault="00E83F2E"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53A4C21">
          <wp:extent cx="7626987" cy="884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64905" cy="912524"/>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73E9" w14:textId="77777777" w:rsidR="00E83F2E" w:rsidRDefault="00E83F2E" w:rsidP="006E0DEA">
      <w:pPr>
        <w:spacing w:after="0" w:line="240" w:lineRule="auto"/>
      </w:pPr>
      <w:r>
        <w:separator/>
      </w:r>
    </w:p>
  </w:footnote>
  <w:footnote w:type="continuationSeparator" w:id="0">
    <w:p w14:paraId="4A2CBF45" w14:textId="77777777" w:rsidR="00E83F2E" w:rsidRDefault="00E83F2E"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420B72F8" w:rsidR="006E0DEA" w:rsidRDefault="0092324E" w:rsidP="00C0614D">
    <w:pPr>
      <w:pStyle w:val="Encabezado"/>
      <w:ind w:left="-170"/>
    </w:pPr>
    <w:r>
      <w:rPr>
        <w:noProof/>
      </w:rPr>
      <w:drawing>
        <wp:inline distT="0" distB="0" distL="0" distR="0" wp14:anchorId="4C466744" wp14:editId="71D277E4">
          <wp:extent cx="6486525" cy="1790025"/>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831743" cy="1885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A860CD"/>
    <w:multiLevelType w:val="hybridMultilevel"/>
    <w:tmpl w:val="85FC798C"/>
    <w:lvl w:ilvl="0" w:tplc="CA3858FE">
      <w:numFmt w:val="bullet"/>
      <w:lvlText w:val="•"/>
      <w:lvlJc w:val="left"/>
      <w:pPr>
        <w:ind w:left="1065" w:hanging="705"/>
      </w:pPr>
      <w:rPr>
        <w:rFonts w:ascii="Saira" w:eastAsiaTheme="minorHAnsi" w:hAnsi="Saira"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5"/>
  </w:num>
  <w:num w:numId="2" w16cid:durableId="1260874186">
    <w:abstractNumId w:val="0"/>
  </w:num>
  <w:num w:numId="3" w16cid:durableId="629435487">
    <w:abstractNumId w:val="2"/>
  </w:num>
  <w:num w:numId="4" w16cid:durableId="1601642201">
    <w:abstractNumId w:val="3"/>
  </w:num>
  <w:num w:numId="5" w16cid:durableId="681247496">
    <w:abstractNumId w:val="4"/>
  </w:num>
  <w:num w:numId="6" w16cid:durableId="83781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235172"/>
    <w:rsid w:val="003405C4"/>
    <w:rsid w:val="00387C88"/>
    <w:rsid w:val="003F5945"/>
    <w:rsid w:val="0042230B"/>
    <w:rsid w:val="0059797B"/>
    <w:rsid w:val="00675A10"/>
    <w:rsid w:val="00695AB2"/>
    <w:rsid w:val="006D0F9A"/>
    <w:rsid w:val="006E0DEA"/>
    <w:rsid w:val="006E6D9E"/>
    <w:rsid w:val="00740269"/>
    <w:rsid w:val="0092324E"/>
    <w:rsid w:val="00930E2D"/>
    <w:rsid w:val="00BB1242"/>
    <w:rsid w:val="00C0201D"/>
    <w:rsid w:val="00C0614D"/>
    <w:rsid w:val="00DB7F09"/>
    <w:rsid w:val="00DE4089"/>
    <w:rsid w:val="00E57ED2"/>
    <w:rsid w:val="00E83F2E"/>
    <w:rsid w:val="00EC2DC6"/>
    <w:rsid w:val="00ED5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2</cp:revision>
  <dcterms:created xsi:type="dcterms:W3CDTF">2023-03-03T08:21:00Z</dcterms:created>
  <dcterms:modified xsi:type="dcterms:W3CDTF">2023-03-03T08:21:00Z</dcterms:modified>
</cp:coreProperties>
</file>